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Título em Português em Letra Arial, Tamanho 14 - Centralizado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jc w:val="center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Título em Inglês em Letra Arial, Tamanho 14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8"/>
          <w:szCs w:val="28"/>
          <w:rtl w:val="0"/>
        </w:rPr>
        <w:t xml:space="preserve">- Itálico -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 Centralizado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3968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3968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Resumo com até 15 linhas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, justificado em ambos os lados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Letra Arial, tamanho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3968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Até 5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palavras-chave separadas por ponto e vírgula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3968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Exemplo: Palavra; Educação; Profissional.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396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3968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3968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Resumo com até 15 linhas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, justificado em ambos os lados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Letra Arial, tamanho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3968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Keywords: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Até 5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palavras-chave separadas por ponto e vírgula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“;”.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3968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Exemplo: Palavra; Educação; Profissional.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 TÍTULO DAS SEÇÕES: LETRA ARIAL E TAMANHO 12, EM NEGRITO, JUSTIFICADO À ESQUERDA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ind w:firstLine="851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Texto em letra Arial, em tamanho</w:t>
      </w:r>
      <w:r w:rsidDel="00000000" w:rsidR="00000000" w:rsidRPr="00000000">
        <w:rPr>
          <w:rFonts w:ascii="Arial" w:cs="Arial" w:eastAsia="Arial" w:hAnsi="Arial"/>
          <w:rtl w:val="0"/>
        </w:rPr>
        <w:t xml:space="preserve"> 12, com espaçamento entrelinhas </w:t>
      </w:r>
      <w:r w:rsidDel="00000000" w:rsidR="00000000" w:rsidRPr="00000000">
        <w:rPr>
          <w:rFonts w:ascii="Arial" w:cs="Arial" w:eastAsia="Arial" w:hAnsi="Arial"/>
          <w:rtl w:val="0"/>
        </w:rPr>
        <w:t xml:space="preserve">simples e espaço de parágrafo de 6 antes e 6 depois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Citações com mais de 3 linhas </w:t>
      </w:r>
      <w:r w:rsidDel="00000000" w:rsidR="00000000" w:rsidRPr="00000000">
        <w:rPr>
          <w:rFonts w:ascii="Arial" w:cs="Arial" w:eastAsia="Arial" w:hAnsi="Arial"/>
          <w:rtl w:val="0"/>
        </w:rPr>
        <w:t xml:space="preserve">devem </w:t>
      </w:r>
      <w:r w:rsidDel="00000000" w:rsidR="00000000" w:rsidRPr="00000000">
        <w:rPr>
          <w:rFonts w:ascii="Arial" w:cs="Arial" w:eastAsia="Arial" w:hAnsi="Arial"/>
          <w:rtl w:val="0"/>
        </w:rPr>
        <w:t xml:space="preserve">ficar com recuo à esquerda de 4cm.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851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 SEÇÕES COM NUMERAÇÃO SEQUENCIAL: LETRA ARIAL E TAMANHO 12, EM NEGRITO, JUSTIFICADO À ESQUERDA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Texto em letra Arial, em tamanho 12, com espaçamento entrelinhas simples e espaço de parágrafo de 6 antes e 6 depois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Citações com mais de 3 linhas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devem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ficar com recuo à esquerda de 4cm e letra tamanho 11.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ind w:left="2268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Exemplo: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Texto em letra Arial, em tamanho 12, com espaçamento entrelinhas simples e espaço de parágrafo de 6 antes e 6 depois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Citações com mais de 3 linhas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devem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ficar com recuo à esquerda de 4cm.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Arial" w:cs="Arial" w:eastAsia="Arial" w:hAnsi="Arial"/>
          <w:strike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2.1 SUBSEÇÕES COM NUMERAÇÃO SEQUENCIAL: LETRA ARIAL TAMANHO 12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CAIXA ALTA E SEM NEGRITO, JUSTIFICADO À ESQUERDA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uso de tabelas, quadros e figuras devem conter legenda acima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do item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(Arial, 12) e fonte abaixo do item (Arial, 10), ambos centralizados e com espaçamento simples entre linhas.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Exemplo: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Figura 1: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Logo da Revista Brasileira da Educação Profissional e Tecnológica impressa com ISSN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Letra em tamanho 12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840998" cy="1212158"/>
            <wp:effectExtent b="0" l="0" r="0" t="0"/>
            <wp:docPr id="10737418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0998" cy="12121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Fonte: Revista Brasileira da Educação Profissional e Tecnológica (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Letra em tamanho 12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Disponível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em: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single"/>
            <w:rtl w:val="0"/>
          </w:rPr>
          <w:t xml:space="preserve">http://www2.ifrn.edu.br/ojs/index.php/RBEPT/index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6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6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Tabelas são ilustrações com dados estatísticos numéricos. Para apresentação das tabelas, utilizar a formatação do IBGE.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66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Exemplo: 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6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66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Tabela 1: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Taxa de analfabetismo das pessoas de 15 anos ou mais de idade, por sexo - Brasil - 2007/2015.</w:t>
      </w:r>
    </w:p>
    <w:tbl>
      <w:tblPr>
        <w:tblStyle w:val="Table1"/>
        <w:tblW w:w="906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01"/>
        <w:gridCol w:w="919"/>
        <w:gridCol w:w="921"/>
        <w:gridCol w:w="920"/>
        <w:gridCol w:w="921"/>
        <w:gridCol w:w="920"/>
        <w:gridCol w:w="921"/>
        <w:gridCol w:w="920"/>
        <w:gridCol w:w="921"/>
        <w:tblGridChange w:id="0">
          <w:tblGrid>
            <w:gridCol w:w="1701"/>
            <w:gridCol w:w="919"/>
            <w:gridCol w:w="921"/>
            <w:gridCol w:w="920"/>
            <w:gridCol w:w="921"/>
            <w:gridCol w:w="920"/>
            <w:gridCol w:w="921"/>
            <w:gridCol w:w="920"/>
            <w:gridCol w:w="921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5a5a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Por sexo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5a5a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5a5a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5a5a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5a5a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5a5a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5a5a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5a5a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5a5a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Homens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Mulheres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7,7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Fonte: IBGE, Diretoria de Pesquisas, Coordenação de Trabalho e Rendimento, Pesquisa Nacional por Amostra de Domicílios 2007/2015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 CONSIDERAÇÕES FINAIS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spacing w:after="120" w:before="12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 citações devem seguir a NBR 10520/2002. As citações com mais de 3 linhas devem ter recuo à esquerda de 4cm.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firstLine="709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Apenas a bibliografia utilizada no texto deverá constar no item referências, cuja normalização deve seguir a NBR 6023/2018.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Exemplo: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REFERÊNCIAS 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BRASIL.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Edital Setec nº 01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de 02 de março de 2017. Apresentação de propostas para a oferta de vagas gratuitas em cursos técnicos na forma concomitante, no âmbito do Pronatec/Mediotec. 2017. Disponível em: http://portal.mec.gov.br/setec-secretaria-de-educacao-profissional-e-tecnologica/editais. Acesso em: 04 jul. 2017.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CERVO, Amado Luiz; BERVIAN, Pedro Alcino; SILVA, Roberto Da.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Metodologia científica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6. ed. São Paulo: Pearson Prentice Hall, 2007.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300"/>
        </w:tabs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KENSKI, Vani Moreira.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Tecnologias e ensino presencial e a distância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Campinas, SP: Papirus, 2003.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MACHADO, Lucília Regina de Souza. A politecnia nos debates pedagógicos soviéticos das décadas de 20 e 30.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Revista Brasileira da Educação Profissional e Tecnológica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v. 1, n. 18, p. e9575, 2020. Disponível em: </w:t>
      </w:r>
      <w:hyperlink r:id="rId9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http://www2.ifrn.edu.br/ojs/index.php/RBEPT/article/view/9575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Acesso em: 02 maio 2020. 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PACHECO, Eliezer Moreira; MORIGI, Valter. (Org.).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Ensino Técnico, Formação Profissional e Cidadania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a revolução da Educação Profissional e Tecnológica no Brasil. Porto Alegre: Tekne, 2012.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40" w:w="11900" w:orient="portrait"/>
      <w:pgMar w:bottom="1418" w:top="1418" w:left="1418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jc w:val="center"/>
      <w:rPr>
        <w:rFonts w:ascii="Arial" w:cs="Arial" w:eastAsia="Arial" w:hAnsi="Arial"/>
        <w:color w:val="000000"/>
        <w:sz w:val="20"/>
        <w:szCs w:val="20"/>
        <w:highlight w:val="white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highlight w:val="white"/>
        <w:rtl w:val="0"/>
      </w:rPr>
      <w:t xml:space="preserve">Revista Brasileira da Educação Profissional e Tecnológica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highlight w:val="white"/>
        <w:rtl w:val="0"/>
      </w:rPr>
      <w:t xml:space="preserve">, v. X, n. X, eXXXX, 202</w:t>
    </w: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ageBreakBefore w:val="0"/>
      <w:jc w:val="center"/>
      <w:rPr>
        <w:rFonts w:ascii="Arial" w:cs="Arial" w:eastAsia="Arial" w:hAnsi="Arial"/>
        <w:color w:val="0000ff"/>
        <w:sz w:val="16"/>
        <w:szCs w:val="16"/>
        <w:u w:val="single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CC BY 4.0 | </w:t>
    </w:r>
    <w:r w:rsidDel="00000000" w:rsidR="00000000" w:rsidRPr="00000000">
      <w:rPr>
        <w:rFonts w:ascii="Arial" w:cs="Arial" w:eastAsia="Arial" w:hAnsi="Arial"/>
        <w:sz w:val="16"/>
        <w:szCs w:val="16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-1013141</wp:posOffset>
              </wp:positionH>
              <wp:positionV relativeFrom="margin">
                <wp:posOffset>-80961</wp:posOffset>
              </wp:positionV>
              <wp:extent cx="7783831" cy="64826"/>
              <wp:effectExtent b="0" l="0" r="0" t="0"/>
              <wp:wrapTopAndBottom distB="0" distT="0"/>
              <wp:docPr id="107374183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8847" y="3752350"/>
                        <a:ext cx="7774306" cy="55301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blurRad="38100" rotWithShape="0" dir="5400000" dist="23000">
                          <a:srgbClr val="BC5522">
                            <a:alpha val="34117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-1013141</wp:posOffset>
              </wp:positionH>
              <wp:positionV relativeFrom="margin">
                <wp:posOffset>-80961</wp:posOffset>
              </wp:positionV>
              <wp:extent cx="7783831" cy="64826"/>
              <wp:effectExtent b="0" l="0" r="0" t="0"/>
              <wp:wrapTopAndBottom distB="0" distT="0"/>
              <wp:docPr id="10737418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3831" cy="648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ISSN 2447-1801 | DOI: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https://doi.org/10.15628/</w:t>
      </w:r>
    </w:hyperlink>
    <w:r w:rsidDel="00000000" w:rsidR="00000000" w:rsidRPr="00000000">
      <w:rPr>
        <w:rFonts w:ascii="Arial" w:cs="Arial" w:eastAsia="Arial" w:hAnsi="Arial"/>
        <w:color w:val="0000ff"/>
        <w:sz w:val="16"/>
        <w:szCs w:val="16"/>
        <w:u w:val="single"/>
        <w:rtl w:val="0"/>
      </w:rPr>
      <w:t xml:space="preserve">rbept.2022.XXXX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Revista Brasileira da Educação Profissional e Tecnológica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, v. X, n. X, eXXXX, 202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, p.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ff"/>
        <w:sz w:val="22"/>
        <w:szCs w:val="22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CC BY 4.0 |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ISSN 2447-1801 | DOI: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https://doi.org/10.15628;rbept.2021.XXXX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50963</wp:posOffset>
              </wp:positionH>
              <wp:positionV relativeFrom="page">
                <wp:posOffset>838518</wp:posOffset>
              </wp:positionV>
              <wp:extent cx="7783831" cy="64826"/>
              <wp:effectExtent b="0" l="0" r="0" t="0"/>
              <wp:wrapSquare wrapText="bothSides" distB="0" distT="0" distL="0" distR="0"/>
              <wp:docPr id="10737418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63610" y="3757112"/>
                        <a:ext cx="7764781" cy="45776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blurRad="38100" rotWithShape="0" dir="5400000" dist="23000">
                          <a:srgbClr val="BC5522">
                            <a:alpha val="34117"/>
                          </a:srgbClr>
                        </a:outerShdw>
                      </a:effec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50963</wp:posOffset>
              </wp:positionH>
              <wp:positionV relativeFrom="page">
                <wp:posOffset>838518</wp:posOffset>
              </wp:positionV>
              <wp:extent cx="7783831" cy="64826"/>
              <wp:effectExtent b="0" l="0" r="0" t="0"/>
              <wp:wrapSquare wrapText="bothSides" distB="0" distT="0" distL="0" distR="0"/>
              <wp:docPr id="10737418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3831" cy="648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 w:val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u w:val="single"/>
    </w:rPr>
  </w:style>
  <w:style w:type="table" w:styleId="TableNormal0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" w:customStyle="1">
    <w:name w:val="Corpo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Nenhum" w:customStyle="1">
    <w:name w:val="Nenhum"/>
  </w:style>
  <w:style w:type="character" w:styleId="Hyperlink0" w:customStyle="1">
    <w:name w:val="Hyperlink.0"/>
    <w:basedOn w:val="Nenhum"/>
    <w:rPr>
      <w:rFonts w:ascii="Arial" w:cs="Arial" w:eastAsia="Arial" w:hAnsi="Arial"/>
      <w:color w:val="1155cc"/>
      <w:sz w:val="16"/>
      <w:szCs w:val="16"/>
      <w:u w:color="1155cc" w:val="single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" w:cs="Helvetica" w:eastAsia="Helvetica" w:hAnsi="Helvetica"/>
      <w:color w:val="000000"/>
    </w:rPr>
  </w:style>
  <w:style w:type="character" w:styleId="Hyperlink1" w:customStyle="1">
    <w:name w:val="Hyperlink.1"/>
    <w:basedOn w:val="Nenhum"/>
    <w:rPr>
      <w:rFonts w:ascii="Arial" w:cs="Arial" w:eastAsia="Arial" w:hAnsi="Arial"/>
      <w:color w:val="0000ff"/>
      <w:sz w:val="16"/>
      <w:szCs w:val="16"/>
      <w:u w:color="0000ff" w:val="single"/>
    </w:rPr>
  </w:style>
  <w:style w:type="character" w:styleId="Hyperlink2" w:customStyle="1">
    <w:name w:val="Hyperlink.2"/>
    <w:basedOn w:val="Nenhum"/>
    <w:rPr>
      <w:rFonts w:ascii="Arial" w:cs="Arial" w:eastAsia="Arial" w:hAnsi="Arial"/>
      <w:sz w:val="20"/>
      <w:szCs w:val="20"/>
      <w:u w:val="single"/>
    </w:rPr>
  </w:style>
  <w:style w:type="character" w:styleId="Hyperlink3" w:customStyle="1">
    <w:name w:val="Hyperlink.3"/>
    <w:basedOn w:val="Nenhum"/>
    <w:rPr>
      <w:rFonts w:ascii="Arial" w:cs="Arial" w:eastAsia="Arial" w:hAnsi="Arial"/>
      <w:sz w:val="24"/>
      <w:szCs w:val="24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6193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6193A"/>
    <w:rPr>
      <w:lang w:eastAsia="en-US" w:val="en-US"/>
    </w:rPr>
  </w:style>
  <w:style w:type="paragraph" w:styleId="Rodap">
    <w:name w:val="footer"/>
    <w:basedOn w:val="Normal"/>
    <w:link w:val="RodapChar"/>
    <w:uiPriority w:val="99"/>
    <w:unhideWhenUsed w:val="1"/>
    <w:rsid w:val="00B6193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6193A"/>
    <w:rPr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2.ifrn.edu.br/ojs/index.php/RBEPT/article/view/957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2.ifrn.edu.br/ojs/index.php/RBEPT/inde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doi.org/10.15628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doi.org/10.15628/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4wMzzp/1+M+ZQRpTqKOFIShWQ==">AMUW2mWT059OJna8Ot9H4mpnlK5+dBIv/505EtCCYsfuu6/IWHrZe+BGQmskAxBGFb5rAELGA0We4pX9mW/SpsZcQpTMT9Vxm7aQd6UCeSlPzHUnFdRDLpk=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2021-01-05T12:35:00Z</dcterms:created>
</cp:coreProperties>
</file>